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Pr="0040073C" w:rsidRDefault="00691C45" w:rsidP="006C2FD1">
      <w:pPr>
        <w:spacing w:line="480" w:lineRule="auto"/>
        <w:jc w:val="center"/>
        <w:rPr>
          <w:color w:val="000000"/>
          <w:szCs w:val="24"/>
        </w:rPr>
      </w:pPr>
    </w:p>
    <w:p w:rsidR="00894A8D" w:rsidRPr="0040073C" w:rsidRDefault="00894A8D" w:rsidP="006C2FD1">
      <w:pPr>
        <w:spacing w:line="480" w:lineRule="auto"/>
        <w:jc w:val="center"/>
        <w:rPr>
          <w:color w:val="000000"/>
          <w:szCs w:val="24"/>
        </w:rPr>
      </w:pPr>
    </w:p>
    <w:p w:rsidR="00894A8D" w:rsidRPr="0040073C" w:rsidRDefault="00894A8D" w:rsidP="006C2FD1">
      <w:pPr>
        <w:spacing w:line="480" w:lineRule="auto"/>
        <w:jc w:val="center"/>
        <w:rPr>
          <w:color w:val="000000"/>
          <w:szCs w:val="24"/>
        </w:rPr>
      </w:pPr>
    </w:p>
    <w:p w:rsidR="00894A8D" w:rsidRPr="0040073C" w:rsidRDefault="00894A8D" w:rsidP="006C2FD1">
      <w:pPr>
        <w:spacing w:line="480" w:lineRule="auto"/>
        <w:jc w:val="center"/>
        <w:rPr>
          <w:color w:val="000000"/>
          <w:szCs w:val="24"/>
        </w:rPr>
      </w:pPr>
    </w:p>
    <w:p w:rsidR="00E33899" w:rsidRPr="0040073C" w:rsidRDefault="008D1F69" w:rsidP="006C2FD1">
      <w:pPr>
        <w:spacing w:line="480" w:lineRule="auto"/>
        <w:jc w:val="center"/>
        <w:rPr>
          <w:color w:val="000000"/>
          <w:szCs w:val="24"/>
        </w:rPr>
      </w:pPr>
      <w:r w:rsidRPr="0040073C">
        <w:rPr>
          <w:color w:val="333333"/>
          <w:szCs w:val="24"/>
          <w:shd w:val="clear" w:color="auto" w:fill="FFFFFF"/>
        </w:rPr>
        <w:t xml:space="preserve"> </w:t>
      </w:r>
      <w:r w:rsidR="00E43F9D">
        <w:rPr>
          <w:color w:val="333333"/>
          <w:shd w:val="clear" w:color="auto" w:fill="FFFFFF"/>
        </w:rPr>
        <w:t>Final Project Part III</w:t>
      </w:r>
    </w:p>
    <w:p w:rsidR="00356B3D" w:rsidRPr="0040073C" w:rsidRDefault="00356B3D" w:rsidP="006C2FD1">
      <w:pPr>
        <w:spacing w:line="480" w:lineRule="auto"/>
        <w:jc w:val="center"/>
        <w:rPr>
          <w:color w:val="000000"/>
          <w:szCs w:val="24"/>
        </w:rPr>
      </w:pPr>
      <w:r w:rsidRPr="0040073C">
        <w:rPr>
          <w:color w:val="000000"/>
          <w:szCs w:val="24"/>
        </w:rPr>
        <w:t>Student’s Name</w:t>
      </w:r>
    </w:p>
    <w:p w:rsidR="00356B3D" w:rsidRPr="0040073C" w:rsidRDefault="00356B3D" w:rsidP="006C2FD1">
      <w:pPr>
        <w:spacing w:line="480" w:lineRule="auto"/>
        <w:jc w:val="center"/>
        <w:rPr>
          <w:color w:val="000000"/>
          <w:szCs w:val="24"/>
        </w:rPr>
      </w:pPr>
      <w:r w:rsidRPr="0040073C">
        <w:rPr>
          <w:color w:val="000000"/>
          <w:szCs w:val="24"/>
        </w:rPr>
        <w:t>Institutional Affiliation</w:t>
      </w:r>
    </w:p>
    <w:p w:rsidR="00E81804" w:rsidRPr="0040073C" w:rsidRDefault="00E81804" w:rsidP="006C2FD1">
      <w:pPr>
        <w:spacing w:line="480" w:lineRule="auto"/>
        <w:jc w:val="center"/>
        <w:rPr>
          <w:color w:val="000000"/>
          <w:szCs w:val="24"/>
        </w:rPr>
      </w:pPr>
    </w:p>
    <w:p w:rsidR="00356B3D" w:rsidRPr="0040073C" w:rsidRDefault="00356B3D" w:rsidP="006C2FD1">
      <w:pPr>
        <w:spacing w:line="480" w:lineRule="auto"/>
        <w:jc w:val="center"/>
        <w:rPr>
          <w:color w:val="000000"/>
          <w:szCs w:val="24"/>
        </w:rPr>
      </w:pPr>
    </w:p>
    <w:p w:rsidR="00356B3D" w:rsidRPr="0040073C" w:rsidRDefault="00356B3D" w:rsidP="006C2FD1">
      <w:pPr>
        <w:spacing w:line="480" w:lineRule="auto"/>
        <w:jc w:val="center"/>
        <w:rPr>
          <w:color w:val="000000"/>
          <w:szCs w:val="24"/>
        </w:rPr>
      </w:pPr>
    </w:p>
    <w:p w:rsidR="00356B3D" w:rsidRPr="0040073C" w:rsidRDefault="00356B3D" w:rsidP="006C2FD1">
      <w:pPr>
        <w:spacing w:line="480" w:lineRule="auto"/>
        <w:jc w:val="center"/>
        <w:rPr>
          <w:color w:val="000000"/>
          <w:szCs w:val="24"/>
        </w:rPr>
      </w:pPr>
    </w:p>
    <w:p w:rsidR="00356B3D" w:rsidRPr="0040073C" w:rsidRDefault="00356B3D" w:rsidP="006C2FD1">
      <w:pPr>
        <w:spacing w:line="480" w:lineRule="auto"/>
        <w:jc w:val="center"/>
        <w:rPr>
          <w:color w:val="000000"/>
          <w:szCs w:val="24"/>
        </w:rPr>
      </w:pPr>
    </w:p>
    <w:p w:rsidR="00356B3D" w:rsidRPr="0040073C" w:rsidRDefault="00356B3D" w:rsidP="006C2FD1">
      <w:pPr>
        <w:spacing w:line="480" w:lineRule="auto"/>
        <w:jc w:val="center"/>
        <w:rPr>
          <w:color w:val="000000"/>
          <w:szCs w:val="24"/>
        </w:rPr>
      </w:pPr>
    </w:p>
    <w:p w:rsidR="00356B3D" w:rsidRPr="0040073C" w:rsidRDefault="00ED3C8F" w:rsidP="006C2FD1">
      <w:pPr>
        <w:spacing w:line="480" w:lineRule="auto"/>
        <w:jc w:val="center"/>
        <w:rPr>
          <w:color w:val="000000"/>
          <w:szCs w:val="24"/>
        </w:rPr>
      </w:pPr>
      <w:r w:rsidRPr="0040073C">
        <w:rPr>
          <w:color w:val="000000"/>
          <w:szCs w:val="24"/>
        </w:rPr>
        <w:t xml:space="preserve"> </w:t>
      </w:r>
    </w:p>
    <w:p w:rsidR="00356B3D" w:rsidRPr="0040073C" w:rsidRDefault="00356B3D" w:rsidP="006C2FD1">
      <w:pPr>
        <w:spacing w:line="480" w:lineRule="auto"/>
        <w:jc w:val="center"/>
        <w:rPr>
          <w:color w:val="000000"/>
          <w:szCs w:val="24"/>
        </w:rPr>
      </w:pPr>
    </w:p>
    <w:p w:rsidR="00380B7F" w:rsidRPr="0040073C" w:rsidRDefault="00380B7F" w:rsidP="006C2FD1">
      <w:pPr>
        <w:spacing w:line="480" w:lineRule="auto"/>
        <w:jc w:val="center"/>
        <w:rPr>
          <w:color w:val="000000"/>
          <w:szCs w:val="24"/>
        </w:rPr>
      </w:pPr>
    </w:p>
    <w:p w:rsidR="00FA0768" w:rsidRDefault="006E1CD8" w:rsidP="006C2FD1">
      <w:pPr>
        <w:spacing w:line="480" w:lineRule="auto"/>
        <w:jc w:val="center"/>
        <w:rPr>
          <w:color w:val="333333"/>
          <w:szCs w:val="24"/>
          <w:shd w:val="clear" w:color="auto" w:fill="FFFFFF"/>
        </w:rPr>
      </w:pPr>
      <w:r>
        <w:rPr>
          <w:color w:val="333333"/>
          <w:szCs w:val="24"/>
          <w:shd w:val="clear" w:color="auto" w:fill="FFFFFF"/>
        </w:rPr>
        <w:t>Final Project Part III</w:t>
      </w:r>
    </w:p>
    <w:p w:rsidR="00C55BB9" w:rsidRDefault="00C55BB9" w:rsidP="006C2FD1">
      <w:pPr>
        <w:spacing w:line="480" w:lineRule="auto"/>
        <w:jc w:val="center"/>
        <w:rPr>
          <w:b/>
          <w:color w:val="333333"/>
          <w:szCs w:val="24"/>
          <w:shd w:val="clear" w:color="auto" w:fill="FFFFFF"/>
        </w:rPr>
      </w:pPr>
      <w:r w:rsidRPr="00257C27">
        <w:rPr>
          <w:b/>
          <w:color w:val="333333"/>
          <w:szCs w:val="24"/>
          <w:shd w:val="clear" w:color="auto" w:fill="FFFFFF"/>
        </w:rPr>
        <w:lastRenderedPageBreak/>
        <w:t xml:space="preserve">School </w:t>
      </w:r>
      <w:r w:rsidR="00257C27" w:rsidRPr="00257C27">
        <w:rPr>
          <w:b/>
          <w:color w:val="333333"/>
          <w:szCs w:val="24"/>
          <w:shd w:val="clear" w:color="auto" w:fill="FFFFFF"/>
        </w:rPr>
        <w:t>v</w:t>
      </w:r>
      <w:r w:rsidRPr="00257C27">
        <w:rPr>
          <w:b/>
          <w:color w:val="333333"/>
          <w:szCs w:val="24"/>
          <w:shd w:val="clear" w:color="auto" w:fill="FFFFFF"/>
        </w:rPr>
        <w:t>ersus Work</w:t>
      </w:r>
    </w:p>
    <w:p w:rsidR="00BC78A5" w:rsidRPr="00BC78A5" w:rsidRDefault="00BC78A5" w:rsidP="006C2FD1">
      <w:pPr>
        <w:spacing w:line="480" w:lineRule="auto"/>
        <w:ind w:firstLine="720"/>
        <w:rPr>
          <w:color w:val="000000"/>
          <w:szCs w:val="24"/>
        </w:rPr>
      </w:pPr>
      <w:r w:rsidRPr="00BC78A5">
        <w:rPr>
          <w:color w:val="000000"/>
          <w:szCs w:val="24"/>
        </w:rPr>
        <w:t xml:space="preserve">Financing an education is nowadays becoming a huge challenge for most students, but there are several options available for students aspiring to continue with their education. For instance, one can work and study, or finance their education through company bonds and shares. However, these options require critical financial analysis before making a decision. To illustrate this, we are going to use an example of a prospective student who has been offered a job by a company, and the cost of education is $100,000. The student has an option of selling either the 500 shares of Apple stock he acquired five years ago, 100 Apple bonds, with 3.2% coupon, which are five years to the ten-year maturity period or both. The following calculation shows how the student can make a decision. </w:t>
      </w:r>
    </w:p>
    <w:p w:rsidR="00BC78A5" w:rsidRPr="00BC78A5" w:rsidRDefault="00BC78A5" w:rsidP="006C2FD1">
      <w:pPr>
        <w:spacing w:line="480" w:lineRule="auto"/>
        <w:rPr>
          <w:color w:val="000000"/>
          <w:szCs w:val="24"/>
        </w:rPr>
      </w:pPr>
      <w:r w:rsidRPr="00BC78A5">
        <w:rPr>
          <w:color w:val="000000"/>
          <w:szCs w:val="24"/>
        </w:rPr>
        <w:t>The bonds are five years into the 10-year maturity date, which is 10yrs-5yrs=5yrs</w:t>
      </w:r>
    </w:p>
    <w:p w:rsidR="00BC78A5" w:rsidRPr="00BC78A5" w:rsidRDefault="00BC78A5" w:rsidP="006C2FD1">
      <w:pPr>
        <w:spacing w:line="480" w:lineRule="auto"/>
        <w:rPr>
          <w:color w:val="000000"/>
          <w:szCs w:val="24"/>
        </w:rPr>
      </w:pPr>
      <w:r w:rsidRPr="00BC78A5">
        <w:rPr>
          <w:color w:val="000000"/>
          <w:szCs w:val="24"/>
        </w:rPr>
        <w:t>The coupon rate is 3.25% per year,</w:t>
      </w:r>
    </w:p>
    <w:p w:rsidR="00BC78A5" w:rsidRPr="00BC78A5" w:rsidRDefault="00BC78A5" w:rsidP="006C2FD1">
      <w:pPr>
        <w:spacing w:line="480" w:lineRule="auto"/>
        <w:rPr>
          <w:color w:val="000000"/>
          <w:szCs w:val="24"/>
        </w:rPr>
      </w:pPr>
      <w:r w:rsidRPr="00BC78A5">
        <w:rPr>
          <w:color w:val="000000"/>
          <w:szCs w:val="24"/>
        </w:rPr>
        <w:t>3.25% X $100,000 = 3250 coupon rate p.a.</w:t>
      </w:r>
    </w:p>
    <w:p w:rsidR="00BC78A5" w:rsidRPr="00BC78A5" w:rsidRDefault="00BC78A5" w:rsidP="006C2FD1">
      <w:pPr>
        <w:spacing w:line="480" w:lineRule="auto"/>
        <w:rPr>
          <w:color w:val="000000"/>
          <w:szCs w:val="24"/>
        </w:rPr>
      </w:pPr>
      <w:r w:rsidRPr="00BC78A5">
        <w:rPr>
          <w:color w:val="000000"/>
          <w:szCs w:val="24"/>
        </w:rPr>
        <w:t>The first year = $3250</w:t>
      </w:r>
    </w:p>
    <w:p w:rsidR="00BC78A5" w:rsidRPr="00BC78A5" w:rsidRDefault="00BC78A5" w:rsidP="006C2FD1">
      <w:pPr>
        <w:spacing w:line="480" w:lineRule="auto"/>
        <w:rPr>
          <w:color w:val="000000"/>
          <w:szCs w:val="24"/>
        </w:rPr>
      </w:pPr>
      <w:r w:rsidRPr="00BC78A5">
        <w:rPr>
          <w:color w:val="000000"/>
          <w:szCs w:val="24"/>
        </w:rPr>
        <w:t>The second year = $3250</w:t>
      </w:r>
    </w:p>
    <w:p w:rsidR="00BC78A5" w:rsidRPr="00BC78A5" w:rsidRDefault="00BC78A5" w:rsidP="006C2FD1">
      <w:pPr>
        <w:spacing w:line="480" w:lineRule="auto"/>
        <w:rPr>
          <w:color w:val="000000"/>
          <w:szCs w:val="24"/>
        </w:rPr>
      </w:pPr>
      <w:r w:rsidRPr="00BC78A5">
        <w:rPr>
          <w:color w:val="000000"/>
          <w:szCs w:val="24"/>
        </w:rPr>
        <w:t>The third year = $3250</w:t>
      </w:r>
    </w:p>
    <w:p w:rsidR="00BC78A5" w:rsidRPr="00BC78A5" w:rsidRDefault="00BC78A5" w:rsidP="006C2FD1">
      <w:pPr>
        <w:spacing w:line="480" w:lineRule="auto"/>
        <w:rPr>
          <w:color w:val="000000"/>
          <w:szCs w:val="24"/>
        </w:rPr>
      </w:pPr>
      <w:r w:rsidRPr="00BC78A5">
        <w:rPr>
          <w:color w:val="000000"/>
          <w:szCs w:val="24"/>
        </w:rPr>
        <w:t>The fourth year = $3250</w:t>
      </w:r>
    </w:p>
    <w:p w:rsidR="00BC78A5" w:rsidRPr="00BC78A5" w:rsidRDefault="00BC78A5" w:rsidP="006C2FD1">
      <w:pPr>
        <w:spacing w:line="480" w:lineRule="auto"/>
        <w:rPr>
          <w:color w:val="000000"/>
          <w:szCs w:val="24"/>
        </w:rPr>
      </w:pPr>
      <w:r w:rsidRPr="00BC78A5">
        <w:rPr>
          <w:color w:val="000000"/>
          <w:szCs w:val="24"/>
        </w:rPr>
        <w:t>The firth year will be $3250 +$100,000 = $103250</w:t>
      </w:r>
    </w:p>
    <w:p w:rsidR="00BC78A5" w:rsidRPr="00BC78A5" w:rsidRDefault="00BC78A5" w:rsidP="006C2FD1">
      <w:pPr>
        <w:spacing w:line="480" w:lineRule="auto"/>
        <w:rPr>
          <w:color w:val="000000"/>
          <w:szCs w:val="24"/>
        </w:rPr>
      </w:pPr>
      <w:r w:rsidRPr="00BC78A5">
        <w:rPr>
          <w:color w:val="000000"/>
          <w:szCs w:val="24"/>
        </w:rPr>
        <w:t>The total amount that the five-year bond can be sold for will be (3250 X 5) + 100,000 = $116250.</w:t>
      </w:r>
    </w:p>
    <w:p w:rsidR="00BC78A5" w:rsidRPr="00BC78A5" w:rsidRDefault="00BC78A5" w:rsidP="006C2FD1">
      <w:pPr>
        <w:spacing w:line="480" w:lineRule="auto"/>
        <w:ind w:firstLine="720"/>
        <w:rPr>
          <w:color w:val="000000"/>
          <w:szCs w:val="24"/>
        </w:rPr>
      </w:pPr>
      <w:r w:rsidRPr="00BC78A5">
        <w:rPr>
          <w:color w:val="000000"/>
          <w:szCs w:val="24"/>
        </w:rPr>
        <w:lastRenderedPageBreak/>
        <w:t xml:space="preserve">From the above analysis, it is evident that the best option for the student will be to dispose of the 500 Apple stock shares to finance his education rather than sell the 100 Apple bonds. The bonds will take another five years to mature, and will yield more returns. However, it would be better if the student sells both the bonds and the stock. </w:t>
      </w:r>
    </w:p>
    <w:p w:rsidR="00BC78A5" w:rsidRPr="00BC78A5" w:rsidRDefault="00BC78A5" w:rsidP="006C2FD1">
      <w:pPr>
        <w:spacing w:line="480" w:lineRule="auto"/>
        <w:ind w:firstLine="720"/>
        <w:rPr>
          <w:color w:val="000000"/>
          <w:szCs w:val="24"/>
        </w:rPr>
      </w:pPr>
      <w:r w:rsidRPr="00BC78A5">
        <w:rPr>
          <w:color w:val="000000"/>
          <w:szCs w:val="24"/>
        </w:rPr>
        <w:t xml:space="preserve">There are advantages and disadvantages associated with selling both the Apple stock shares and bonds. For the advantages, the shared cost of handling security issues is one of the primary benefits of selling a combination of both stocks as well as bonds. In this case, an individual will not be solely saddled with the handling of any cost related to security relating to the selling of the company's stocks and bonds. Also, selling a combination of bonds and stock is related to risk versus uniformity decisions by investors. The engaged judgment of the investor provides a likely advantage in selling both the company's bond and stock owned. Most importantly, considering the ability to obtain huge amounts of money in return, an affected company will be at liberty to determine the cost of its stock and bonds. Selling of both the bonds and stock owned means that an individual will earn a huge amount of money from the investment at ago. Therefore, he or she will be able to invest in other ventures. Such lump sum cash from the sale is an advantage of selling a combination of bonds and stock. Also, since the prices of bonds and stock fluctuate, an individual would gain from selling them now at a higher price than risk selling them in future when the prices may have dropped. In this case, a person may earn more money now and eliminate the risk of losing some money when he sells the stocks and bonds when the prices have dropped. </w:t>
      </w:r>
    </w:p>
    <w:p w:rsidR="00BC78A5" w:rsidRPr="00BC78A5" w:rsidRDefault="00BC78A5" w:rsidP="006C2FD1">
      <w:pPr>
        <w:spacing w:line="480" w:lineRule="auto"/>
        <w:ind w:firstLine="720"/>
        <w:rPr>
          <w:color w:val="000000"/>
          <w:szCs w:val="24"/>
        </w:rPr>
      </w:pPr>
      <w:r w:rsidRPr="00BC78A5">
        <w:rPr>
          <w:color w:val="000000"/>
          <w:szCs w:val="24"/>
        </w:rPr>
        <w:t xml:space="preserve">As opposed to the advantages associated with selling the stock and bonds now, there are also some disadvantages. For instance, there is the irregularity of making rush decisions based on the distribution of ratio when selling a combination of both bonds and stock is a huge </w:t>
      </w:r>
      <w:r w:rsidRPr="00BC78A5">
        <w:rPr>
          <w:color w:val="000000"/>
          <w:szCs w:val="24"/>
        </w:rPr>
        <w:lastRenderedPageBreak/>
        <w:t xml:space="preserve">disadvantage an individual gets by adopting the selling method of the investment that may occur. One has to decide on the actual ratio attached to both the bonds and stock. In most cases, deciding what should take the highest ratio is usually hard and risky. Nevertheless, both components are associated with profits and selling both of them means terminating an investment. On the other hand, selling a combination of stocks and bond translates to a huge flow of funds, which can pose a challenge to the investor. There is always a risk of the individual misusing the money or investing in more risky ventures. As a matter of fact, the person may have a problem deciding on what to do with the liquid money or the best investment in which to venture. An individual may have a challenge in deciding how best to handle the sudden influx of large amounts of money obtained from the sale. Most importantly, there is a possible drawback for selling a combination of both investments. Also, management concentration will most likely be affected when engaging in a combined sale of both stock and bonds.    </w:t>
      </w:r>
    </w:p>
    <w:p w:rsidR="00BC78A5" w:rsidRPr="00BC78A5" w:rsidRDefault="00BC78A5" w:rsidP="006C2FD1">
      <w:pPr>
        <w:spacing w:line="480" w:lineRule="auto"/>
        <w:ind w:firstLine="720"/>
        <w:rPr>
          <w:color w:val="000000"/>
          <w:szCs w:val="24"/>
        </w:rPr>
      </w:pPr>
      <w:r w:rsidRPr="00BC78A5">
        <w:rPr>
          <w:color w:val="000000"/>
          <w:szCs w:val="24"/>
        </w:rPr>
        <w:t xml:space="preserve">In this scenario, the most viable choice would be to sell a combination of both bonds and stock. The justification of this choice is that the student not only knows the value of the bonds now and their value in the future, but also knows how much the stocks are worth for now. Therefore, selling some of the stocks would bring in the advantage of the immediate higher returns than what the bonds are currently worth, while still leaving some of the shares to circulate in the market and earn possible high profits in the end. Likewise, selling some of the bonds while they are at a high price provides higher returns than waiting for further five years, but some bonds are still left, as a low-risk investment, to earn more returns later. For instance, both the stocks and bonds of Apple Company at present will be fifty percent of 100,000, which will fetch fifty thousand dollars as bond, and fifty percent of $100,000, which will fetch fifty thousand dollars in share sales. Circumventing of both risk and broadened horizons of the </w:t>
      </w:r>
      <w:r w:rsidRPr="00BC78A5">
        <w:rPr>
          <w:color w:val="000000"/>
          <w:szCs w:val="24"/>
        </w:rPr>
        <w:lastRenderedPageBreak/>
        <w:t xml:space="preserve">portfolio would be sound financial reasoning behind the choice as it can be seen from the calculations above. The reasoning behind this decision is that the individual would be diversifying his investments by remaining with a little of both bonds and stocks.  </w:t>
      </w:r>
    </w:p>
    <w:p w:rsidR="00BC78A5" w:rsidRPr="00BC78A5" w:rsidRDefault="00BC78A5" w:rsidP="006C2FD1">
      <w:pPr>
        <w:spacing w:line="480" w:lineRule="auto"/>
        <w:ind w:firstLine="720"/>
        <w:rPr>
          <w:color w:val="000000"/>
          <w:szCs w:val="24"/>
        </w:rPr>
      </w:pPr>
      <w:r w:rsidRPr="00BC78A5">
        <w:rPr>
          <w:color w:val="000000"/>
          <w:szCs w:val="24"/>
        </w:rPr>
        <w:t xml:space="preserve">Suppose the student chooses to take the job to finance his education, he will be working and studying meaning that he will leave both the investments untouched. The individual will have the advantage of holding onto the bonds until their maturity. Also, the stocks would remain to be sold at a later date, which is both an advantage and a disadvantage since stocks have a higher risk and volatility and can go either way; upwards or downwards. However, he could always turn to these investments to fill the gap if the job would not fulfill all his personal and educational needs. </w:t>
      </w:r>
    </w:p>
    <w:p w:rsidR="00BC78A5" w:rsidRPr="00BC78A5" w:rsidRDefault="00BC78A5" w:rsidP="006C2FD1">
      <w:pPr>
        <w:spacing w:line="480" w:lineRule="auto"/>
        <w:jc w:val="center"/>
        <w:rPr>
          <w:b/>
          <w:color w:val="000000"/>
          <w:szCs w:val="24"/>
        </w:rPr>
      </w:pPr>
      <w:r w:rsidRPr="00BC78A5">
        <w:rPr>
          <w:b/>
          <w:color w:val="000000"/>
          <w:szCs w:val="24"/>
        </w:rPr>
        <w:t>Bonus versus Stock</w:t>
      </w:r>
    </w:p>
    <w:p w:rsidR="00BC78A5" w:rsidRPr="00BC78A5" w:rsidRDefault="00BC78A5" w:rsidP="006C2FD1">
      <w:pPr>
        <w:spacing w:line="480" w:lineRule="auto"/>
        <w:ind w:firstLine="720"/>
        <w:rPr>
          <w:color w:val="000000"/>
          <w:szCs w:val="24"/>
        </w:rPr>
      </w:pPr>
      <w:r w:rsidRPr="00BC78A5">
        <w:rPr>
          <w:color w:val="000000"/>
          <w:szCs w:val="24"/>
        </w:rPr>
        <w:t xml:space="preserve">Considering that the company offers a bonus of five thousand dollars in cash or a hundred shares of the company with the current market price of fifty dollars, both offers are worth five thousand dollars as per now. However, the company shares would be a better choice because it provides an opportunity for an investment that would yield higher returns in the future. On the other hand, accepting the cash bonus has the advantage of not incurring a loss in case of uncertainties in company stocks. While the stocks have an advantage of producing more returns in the future, the cash offer has a disadvantage since it will not grow beyond the $5,000 offer. Considering all these facts, it would be prudent to take the cash offer. This move provides an opportunity to invest in other ventures of their choice that they may deem to be more profitable than keeping the shares of the current company. Also, an individual may decide to invest some of </w:t>
      </w:r>
      <w:r w:rsidRPr="00BC78A5">
        <w:rPr>
          <w:color w:val="000000"/>
          <w:szCs w:val="24"/>
        </w:rPr>
        <w:lastRenderedPageBreak/>
        <w:t>the money and save the rest or use it for other purposes. This way, the person will have a diversified investment.</w:t>
      </w:r>
    </w:p>
    <w:p w:rsidR="00BC78A5" w:rsidRPr="00BC78A5" w:rsidRDefault="00BC78A5" w:rsidP="006C2FD1">
      <w:pPr>
        <w:spacing w:line="480" w:lineRule="auto"/>
        <w:jc w:val="center"/>
        <w:rPr>
          <w:color w:val="000000"/>
          <w:szCs w:val="24"/>
        </w:rPr>
      </w:pPr>
      <w:r w:rsidRPr="00BC78A5">
        <w:rPr>
          <w:b/>
          <w:color w:val="000000"/>
          <w:szCs w:val="24"/>
        </w:rPr>
        <w:t>Compliance</w:t>
      </w:r>
    </w:p>
    <w:p w:rsidR="00BC78A5" w:rsidRPr="00BC78A5" w:rsidRDefault="00BC78A5" w:rsidP="006C2FD1">
      <w:pPr>
        <w:spacing w:line="480" w:lineRule="auto"/>
        <w:ind w:firstLine="720"/>
        <w:rPr>
          <w:color w:val="000000"/>
          <w:szCs w:val="24"/>
        </w:rPr>
      </w:pPr>
      <w:r w:rsidRPr="00BC78A5">
        <w:rPr>
          <w:color w:val="000000"/>
          <w:szCs w:val="24"/>
        </w:rPr>
        <w:t>The function of the Security Act is to regulate security sales, and it provides that investors should be given market security information of the securities available for sale. The Security Act of 1993 provides that all companies should submit their security information to investors before going public</w:t>
      </w:r>
      <w:r w:rsidR="003C249F">
        <w:rPr>
          <w:color w:val="000000"/>
          <w:szCs w:val="24"/>
        </w:rPr>
        <w:t xml:space="preserve"> (</w:t>
      </w:r>
      <w:r w:rsidR="003C249F">
        <w:rPr>
          <w:noProof/>
        </w:rPr>
        <w:t>ACT, 2002</w:t>
      </w:r>
      <w:r w:rsidR="003C249F">
        <w:rPr>
          <w:color w:val="000000"/>
          <w:szCs w:val="24"/>
        </w:rPr>
        <w:t>)</w:t>
      </w:r>
      <w:r w:rsidRPr="00BC78A5">
        <w:rPr>
          <w:color w:val="000000"/>
          <w:szCs w:val="24"/>
        </w:rPr>
        <w:t>. Therefore, any company that offers their securities for sale before filing for registration violates the Act. In this context, filling for registration means that the company should provide security information to the public before engaging in security sales. In this case, if I realize that the company I am going to work for is not registered as per the requirements of the Act, I would not purchase or accept any stock from the company.</w:t>
      </w:r>
    </w:p>
    <w:p w:rsidR="00A14C69" w:rsidRDefault="00BC78A5" w:rsidP="006C2FD1">
      <w:pPr>
        <w:spacing w:line="480" w:lineRule="auto"/>
        <w:ind w:firstLine="720"/>
        <w:rPr>
          <w:color w:val="000000"/>
          <w:szCs w:val="24"/>
        </w:rPr>
      </w:pPr>
      <w:r w:rsidRPr="00BC78A5">
        <w:rPr>
          <w:color w:val="000000"/>
          <w:szCs w:val="24"/>
        </w:rPr>
        <w:t>In this case, the federal shareholder requirements I would need to familiarize myself with revolves around taxes issues and company registration according to the provisions of the Securities Act of 1993. The Sarbanes Act of 2002 ensures that an entire promotion of CSR improvement in handling financial matters</w:t>
      </w:r>
      <w:r w:rsidR="003C249F">
        <w:rPr>
          <w:color w:val="000000"/>
          <w:szCs w:val="24"/>
        </w:rPr>
        <w:t xml:space="preserve"> (</w:t>
      </w:r>
      <w:r w:rsidR="003C249F">
        <w:rPr>
          <w:noProof/>
        </w:rPr>
        <w:t>Sarbanes, 2002</w:t>
      </w:r>
      <w:r w:rsidR="003C249F">
        <w:rPr>
          <w:color w:val="000000"/>
          <w:szCs w:val="24"/>
        </w:rPr>
        <w:t>)</w:t>
      </w:r>
      <w:r w:rsidRPr="00BC78A5">
        <w:rPr>
          <w:color w:val="000000"/>
          <w:szCs w:val="24"/>
        </w:rPr>
        <w:t>. Also, the Investment Advisers Act of 1940 provides on responsibility decisions of financial managers to prevent frauds</w:t>
      </w:r>
      <w:r w:rsidR="00FC3F5C">
        <w:rPr>
          <w:color w:val="000000"/>
          <w:szCs w:val="24"/>
        </w:rPr>
        <w:t xml:space="preserve"> (</w:t>
      </w:r>
      <w:r w:rsidR="00FC3F5C">
        <w:rPr>
          <w:noProof/>
        </w:rPr>
        <w:t>Chaffee, 2010</w:t>
      </w:r>
      <w:r w:rsidR="00FC3F5C">
        <w:rPr>
          <w:color w:val="000000"/>
          <w:szCs w:val="24"/>
        </w:rPr>
        <w:t>)</w:t>
      </w:r>
      <w:r w:rsidRPr="00BC78A5">
        <w:rPr>
          <w:color w:val="000000"/>
          <w:szCs w:val="24"/>
        </w:rPr>
        <w:t>. These are among the major federal requirements I would need to be familiar with. Proper compliance with the government provisions will allow me to perform positively in the provided position.</w:t>
      </w:r>
      <w:r w:rsidR="007547A7">
        <w:rPr>
          <w:color w:val="000000"/>
          <w:szCs w:val="24"/>
        </w:rPr>
        <w:t xml:space="preserve"> </w:t>
      </w:r>
      <w:r w:rsidR="002F6E44">
        <w:rPr>
          <w:color w:val="000000"/>
          <w:szCs w:val="24"/>
        </w:rPr>
        <w:t xml:space="preserve"> </w:t>
      </w:r>
    </w:p>
    <w:p w:rsidR="00CF00C8" w:rsidRDefault="00CF00C8" w:rsidP="006C2FD1">
      <w:pPr>
        <w:spacing w:line="480" w:lineRule="auto"/>
        <w:rPr>
          <w:color w:val="000000"/>
          <w:szCs w:val="24"/>
        </w:rPr>
      </w:pPr>
    </w:p>
    <w:p w:rsidR="00EE10D1" w:rsidRDefault="00EE10D1" w:rsidP="006C2FD1">
      <w:pPr>
        <w:spacing w:line="480" w:lineRule="auto"/>
        <w:jc w:val="center"/>
        <w:rPr>
          <w:color w:val="000000"/>
          <w:szCs w:val="24"/>
        </w:rPr>
      </w:pPr>
    </w:p>
    <w:p w:rsidR="00CF00C8" w:rsidRDefault="00CF00C8" w:rsidP="006C2FD1">
      <w:pPr>
        <w:spacing w:line="480" w:lineRule="auto"/>
        <w:jc w:val="center"/>
        <w:rPr>
          <w:color w:val="000000"/>
          <w:szCs w:val="24"/>
        </w:rPr>
      </w:pPr>
      <w:bookmarkStart w:id="0" w:name="_GoBack"/>
      <w:bookmarkEnd w:id="0"/>
      <w:r>
        <w:rPr>
          <w:color w:val="000000"/>
          <w:szCs w:val="24"/>
        </w:rPr>
        <w:lastRenderedPageBreak/>
        <w:t>References</w:t>
      </w:r>
    </w:p>
    <w:p w:rsidR="001A6FEE" w:rsidRPr="001A6FEE" w:rsidRDefault="001A6FEE" w:rsidP="006C2FD1">
      <w:pPr>
        <w:spacing w:line="480" w:lineRule="auto"/>
        <w:ind w:left="720" w:hanging="720"/>
        <w:rPr>
          <w:color w:val="000000"/>
          <w:szCs w:val="24"/>
        </w:rPr>
      </w:pPr>
      <w:r w:rsidRPr="001A6FEE">
        <w:rPr>
          <w:color w:val="000000"/>
          <w:szCs w:val="24"/>
        </w:rPr>
        <w:t xml:space="preserve">ACT, S. E. (2002). SECURITIES ACT OF 1933. </w:t>
      </w:r>
      <w:r w:rsidRPr="001A6FEE">
        <w:rPr>
          <w:i/>
          <w:color w:val="000000"/>
          <w:szCs w:val="24"/>
        </w:rPr>
        <w:t>ORDER</w:t>
      </w:r>
      <w:r w:rsidRPr="001A6FEE">
        <w:rPr>
          <w:color w:val="000000"/>
          <w:szCs w:val="24"/>
        </w:rPr>
        <w:t>, 21046, 9400.</w:t>
      </w:r>
    </w:p>
    <w:p w:rsidR="001A6FEE" w:rsidRPr="001A6FEE" w:rsidRDefault="001A6FEE" w:rsidP="006C2FD1">
      <w:pPr>
        <w:spacing w:line="480" w:lineRule="auto"/>
        <w:ind w:left="720" w:hanging="720"/>
        <w:rPr>
          <w:color w:val="000000"/>
          <w:szCs w:val="24"/>
        </w:rPr>
      </w:pPr>
      <w:r w:rsidRPr="001A6FEE">
        <w:rPr>
          <w:color w:val="000000"/>
          <w:szCs w:val="24"/>
        </w:rPr>
        <w:t xml:space="preserve">Chaffee, E. C. (2010). The Dodd-Frank Wall Street Reform and Consumer Protection Act: A failed vision for increasing consumer protection and heightening corporate responsibility in international financial transactions. </w:t>
      </w:r>
      <w:r w:rsidRPr="001A6FEE">
        <w:rPr>
          <w:i/>
          <w:color w:val="000000"/>
          <w:szCs w:val="24"/>
        </w:rPr>
        <w:t>Am</w:t>
      </w:r>
      <w:r w:rsidRPr="001A6FEE">
        <w:rPr>
          <w:color w:val="000000"/>
          <w:szCs w:val="24"/>
        </w:rPr>
        <w:t>. UL Rev., 60, 1431.</w:t>
      </w:r>
    </w:p>
    <w:p w:rsidR="001A6FEE" w:rsidRPr="001A6FEE" w:rsidRDefault="001A6FEE" w:rsidP="006C2FD1">
      <w:pPr>
        <w:spacing w:line="480" w:lineRule="auto"/>
        <w:ind w:left="720" w:hanging="720"/>
        <w:rPr>
          <w:color w:val="000000"/>
          <w:szCs w:val="24"/>
        </w:rPr>
      </w:pPr>
      <w:r w:rsidRPr="001A6FEE">
        <w:rPr>
          <w:color w:val="000000"/>
          <w:szCs w:val="24"/>
        </w:rPr>
        <w:t xml:space="preserve">Sarbanes, P. (2002). </w:t>
      </w:r>
      <w:r w:rsidRPr="001A6FEE">
        <w:rPr>
          <w:i/>
          <w:color w:val="000000"/>
          <w:szCs w:val="24"/>
        </w:rPr>
        <w:t>Sarbanes-Oxley act of 2002: The Public Company Accounting Reform and Investor Protection Act.</w:t>
      </w:r>
      <w:r w:rsidRPr="001A6FEE">
        <w:rPr>
          <w:color w:val="000000"/>
          <w:szCs w:val="24"/>
        </w:rPr>
        <w:t xml:space="preserve"> Washington DC: US Congress.</w:t>
      </w:r>
    </w:p>
    <w:p w:rsidR="00CF00C8" w:rsidRPr="00257C27" w:rsidRDefault="00CF00C8" w:rsidP="006C2FD1">
      <w:pPr>
        <w:spacing w:line="480" w:lineRule="auto"/>
        <w:rPr>
          <w:color w:val="000000"/>
          <w:szCs w:val="24"/>
        </w:rPr>
      </w:pPr>
    </w:p>
    <w:sectPr w:rsidR="00CF00C8" w:rsidRPr="00257C27" w:rsidSect="00894A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EAF" w:rsidRDefault="00A04EAF" w:rsidP="003B2BB8">
      <w:pPr>
        <w:spacing w:after="0" w:line="240" w:lineRule="auto"/>
      </w:pPr>
      <w:r>
        <w:separator/>
      </w:r>
    </w:p>
  </w:endnote>
  <w:endnote w:type="continuationSeparator" w:id="0">
    <w:p w:rsidR="00A04EAF" w:rsidRDefault="00A04EAF"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505" w:rsidRDefault="006B45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505" w:rsidRDefault="006B45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505" w:rsidRDefault="006B45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EAF" w:rsidRDefault="00A04EAF" w:rsidP="003B2BB8">
      <w:pPr>
        <w:spacing w:after="0" w:line="240" w:lineRule="auto"/>
      </w:pPr>
      <w:r>
        <w:separator/>
      </w:r>
    </w:p>
  </w:footnote>
  <w:footnote w:type="continuationSeparator" w:id="0">
    <w:p w:rsidR="00A04EAF" w:rsidRDefault="00A04EAF"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505" w:rsidRDefault="006B4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4C2809">
    <w:pPr>
      <w:pStyle w:val="Header"/>
    </w:pPr>
    <w:r>
      <w:rPr>
        <w:color w:val="333333"/>
        <w:shd w:val="clear" w:color="auto" w:fill="FFFFFF"/>
      </w:rPr>
      <w:t>FINAL PROJECT PART III</w:t>
    </w:r>
    <w:r w:rsidR="00E92DD3">
      <w:rPr>
        <w:color w:val="333333"/>
        <w:shd w:val="clear" w:color="auto" w:fill="FFFFFF"/>
      </w:rPr>
      <w:tab/>
    </w:r>
    <w:r w:rsidR="00691C45">
      <w:rPr>
        <w:rFonts w:ascii="Arial" w:hAnsi="Arial" w:cs="Arial"/>
        <w:color w:val="333333"/>
        <w:shd w:val="clear" w:color="auto" w:fill="FFFFFF"/>
      </w:rPr>
      <w:tab/>
    </w:r>
    <w:r w:rsidR="00A04EAF">
      <w:fldChar w:fldCharType="begin"/>
    </w:r>
    <w:r w:rsidR="00A04EAF">
      <w:instrText xml:space="preserve"> PAGE   \* MERGEFORMAT </w:instrText>
    </w:r>
    <w:r w:rsidR="00A04EAF">
      <w:fldChar w:fldCharType="separate"/>
    </w:r>
    <w:r w:rsidR="006B4505">
      <w:rPr>
        <w:noProof/>
      </w:rPr>
      <w:t>7</w:t>
    </w:r>
    <w:r w:rsidR="00A04EAF">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8D1F69">
    <w:pPr>
      <w:pStyle w:val="Header"/>
    </w:pPr>
    <w:r>
      <w:t xml:space="preserve">Running head: </w:t>
    </w:r>
    <w:r w:rsidR="00E43F9D">
      <w:rPr>
        <w:color w:val="333333"/>
        <w:shd w:val="clear" w:color="auto" w:fill="FFFFFF"/>
      </w:rPr>
      <w:t>FINAL PROJECT PART III</w:t>
    </w:r>
    <w:r w:rsidR="004C2809">
      <w:rPr>
        <w:color w:val="333333"/>
        <w:shd w:val="clear" w:color="auto" w:fill="FFFFFF"/>
      </w:rPr>
      <w:tab/>
    </w:r>
    <w:r w:rsidR="00691C45">
      <w:rPr>
        <w:color w:val="333333"/>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268F"/>
    <w:rsid w:val="00002D7F"/>
    <w:rsid w:val="000102EC"/>
    <w:rsid w:val="00010A87"/>
    <w:rsid w:val="0002137B"/>
    <w:rsid w:val="00021414"/>
    <w:rsid w:val="00026F13"/>
    <w:rsid w:val="00030801"/>
    <w:rsid w:val="00030AC4"/>
    <w:rsid w:val="00032942"/>
    <w:rsid w:val="00032A37"/>
    <w:rsid w:val="00034952"/>
    <w:rsid w:val="000369C4"/>
    <w:rsid w:val="0004094B"/>
    <w:rsid w:val="00040ABC"/>
    <w:rsid w:val="000421A2"/>
    <w:rsid w:val="00044649"/>
    <w:rsid w:val="00050CE4"/>
    <w:rsid w:val="00052439"/>
    <w:rsid w:val="0005508D"/>
    <w:rsid w:val="00061312"/>
    <w:rsid w:val="00061792"/>
    <w:rsid w:val="000647E2"/>
    <w:rsid w:val="00075F87"/>
    <w:rsid w:val="00076C9D"/>
    <w:rsid w:val="00077293"/>
    <w:rsid w:val="00077D60"/>
    <w:rsid w:val="000847BE"/>
    <w:rsid w:val="00084B35"/>
    <w:rsid w:val="00084E40"/>
    <w:rsid w:val="0008608A"/>
    <w:rsid w:val="000922B1"/>
    <w:rsid w:val="0009273F"/>
    <w:rsid w:val="0009651D"/>
    <w:rsid w:val="000B5F29"/>
    <w:rsid w:val="000D0005"/>
    <w:rsid w:val="000D1FDA"/>
    <w:rsid w:val="000E4771"/>
    <w:rsid w:val="000E59A4"/>
    <w:rsid w:val="000F2769"/>
    <w:rsid w:val="000F4017"/>
    <w:rsid w:val="000F7D39"/>
    <w:rsid w:val="001009D5"/>
    <w:rsid w:val="00103977"/>
    <w:rsid w:val="00107F29"/>
    <w:rsid w:val="001126BE"/>
    <w:rsid w:val="00113813"/>
    <w:rsid w:val="00115EC7"/>
    <w:rsid w:val="00122920"/>
    <w:rsid w:val="00127022"/>
    <w:rsid w:val="00131443"/>
    <w:rsid w:val="00135E93"/>
    <w:rsid w:val="0015048C"/>
    <w:rsid w:val="00150F1A"/>
    <w:rsid w:val="00151974"/>
    <w:rsid w:val="0015222A"/>
    <w:rsid w:val="001551DE"/>
    <w:rsid w:val="00155203"/>
    <w:rsid w:val="001574D4"/>
    <w:rsid w:val="001576C0"/>
    <w:rsid w:val="0015775F"/>
    <w:rsid w:val="001612DA"/>
    <w:rsid w:val="00162E10"/>
    <w:rsid w:val="00164055"/>
    <w:rsid w:val="0016600F"/>
    <w:rsid w:val="001708FF"/>
    <w:rsid w:val="00171005"/>
    <w:rsid w:val="001714EF"/>
    <w:rsid w:val="00172242"/>
    <w:rsid w:val="00175D81"/>
    <w:rsid w:val="00180E97"/>
    <w:rsid w:val="001819B9"/>
    <w:rsid w:val="00182304"/>
    <w:rsid w:val="00182E2A"/>
    <w:rsid w:val="00183012"/>
    <w:rsid w:val="001831CD"/>
    <w:rsid w:val="001853AD"/>
    <w:rsid w:val="0018745B"/>
    <w:rsid w:val="00193229"/>
    <w:rsid w:val="00196F0F"/>
    <w:rsid w:val="001A0FFE"/>
    <w:rsid w:val="001A1973"/>
    <w:rsid w:val="001A6FEE"/>
    <w:rsid w:val="001B5B8D"/>
    <w:rsid w:val="001C2600"/>
    <w:rsid w:val="001C626D"/>
    <w:rsid w:val="001C7373"/>
    <w:rsid w:val="001D2ECF"/>
    <w:rsid w:val="001D4EF1"/>
    <w:rsid w:val="001D57D8"/>
    <w:rsid w:val="001E3135"/>
    <w:rsid w:val="001E4931"/>
    <w:rsid w:val="001F1C49"/>
    <w:rsid w:val="001F7434"/>
    <w:rsid w:val="001F789E"/>
    <w:rsid w:val="002023C1"/>
    <w:rsid w:val="0020444E"/>
    <w:rsid w:val="002047ED"/>
    <w:rsid w:val="00221826"/>
    <w:rsid w:val="00221C69"/>
    <w:rsid w:val="00224F0C"/>
    <w:rsid w:val="00230BD6"/>
    <w:rsid w:val="00237DFD"/>
    <w:rsid w:val="00241259"/>
    <w:rsid w:val="0024499C"/>
    <w:rsid w:val="0024578E"/>
    <w:rsid w:val="0024776F"/>
    <w:rsid w:val="002505B7"/>
    <w:rsid w:val="00251B0B"/>
    <w:rsid w:val="00251F55"/>
    <w:rsid w:val="00252AE5"/>
    <w:rsid w:val="00252C38"/>
    <w:rsid w:val="00257C27"/>
    <w:rsid w:val="00267B57"/>
    <w:rsid w:val="00271573"/>
    <w:rsid w:val="002722CC"/>
    <w:rsid w:val="00274FB5"/>
    <w:rsid w:val="0028010A"/>
    <w:rsid w:val="00280EC7"/>
    <w:rsid w:val="00282BC6"/>
    <w:rsid w:val="0028344E"/>
    <w:rsid w:val="00284419"/>
    <w:rsid w:val="0028633B"/>
    <w:rsid w:val="00286835"/>
    <w:rsid w:val="0028731A"/>
    <w:rsid w:val="00292246"/>
    <w:rsid w:val="002A2407"/>
    <w:rsid w:val="002A3BC8"/>
    <w:rsid w:val="002A5797"/>
    <w:rsid w:val="002B08D5"/>
    <w:rsid w:val="002B26C7"/>
    <w:rsid w:val="002B3F0B"/>
    <w:rsid w:val="002B4374"/>
    <w:rsid w:val="002B5CBA"/>
    <w:rsid w:val="002B7415"/>
    <w:rsid w:val="002C19C0"/>
    <w:rsid w:val="002C5335"/>
    <w:rsid w:val="002C637F"/>
    <w:rsid w:val="002C738F"/>
    <w:rsid w:val="002C76B9"/>
    <w:rsid w:val="002C78F0"/>
    <w:rsid w:val="002D7EF4"/>
    <w:rsid w:val="002E07CB"/>
    <w:rsid w:val="002E697E"/>
    <w:rsid w:val="002F6E44"/>
    <w:rsid w:val="003046E4"/>
    <w:rsid w:val="00306866"/>
    <w:rsid w:val="00307ADD"/>
    <w:rsid w:val="00316596"/>
    <w:rsid w:val="003179D8"/>
    <w:rsid w:val="00321130"/>
    <w:rsid w:val="00326E8A"/>
    <w:rsid w:val="003279F4"/>
    <w:rsid w:val="00334425"/>
    <w:rsid w:val="003350F6"/>
    <w:rsid w:val="00340F7B"/>
    <w:rsid w:val="003436F8"/>
    <w:rsid w:val="00351DEE"/>
    <w:rsid w:val="00354143"/>
    <w:rsid w:val="003551C3"/>
    <w:rsid w:val="00356B3D"/>
    <w:rsid w:val="00363366"/>
    <w:rsid w:val="00364ECF"/>
    <w:rsid w:val="00364EDD"/>
    <w:rsid w:val="003658B9"/>
    <w:rsid w:val="00365C8B"/>
    <w:rsid w:val="00373353"/>
    <w:rsid w:val="003762A7"/>
    <w:rsid w:val="00376596"/>
    <w:rsid w:val="00380B7F"/>
    <w:rsid w:val="0038239E"/>
    <w:rsid w:val="003833D5"/>
    <w:rsid w:val="00384AD0"/>
    <w:rsid w:val="00386F5E"/>
    <w:rsid w:val="0039291B"/>
    <w:rsid w:val="003A5F17"/>
    <w:rsid w:val="003A611B"/>
    <w:rsid w:val="003A7410"/>
    <w:rsid w:val="003B2027"/>
    <w:rsid w:val="003B2BB8"/>
    <w:rsid w:val="003B3093"/>
    <w:rsid w:val="003B533E"/>
    <w:rsid w:val="003B7D45"/>
    <w:rsid w:val="003C0F0D"/>
    <w:rsid w:val="003C1286"/>
    <w:rsid w:val="003C249F"/>
    <w:rsid w:val="003D0138"/>
    <w:rsid w:val="003D04BC"/>
    <w:rsid w:val="003D4B32"/>
    <w:rsid w:val="003D523E"/>
    <w:rsid w:val="003D717D"/>
    <w:rsid w:val="003E2964"/>
    <w:rsid w:val="003E2C18"/>
    <w:rsid w:val="003E3DDB"/>
    <w:rsid w:val="003E5230"/>
    <w:rsid w:val="003F5861"/>
    <w:rsid w:val="003F6472"/>
    <w:rsid w:val="0040073C"/>
    <w:rsid w:val="00400E88"/>
    <w:rsid w:val="004072A8"/>
    <w:rsid w:val="00407932"/>
    <w:rsid w:val="004108EA"/>
    <w:rsid w:val="00415AD8"/>
    <w:rsid w:val="004214D9"/>
    <w:rsid w:val="004239DB"/>
    <w:rsid w:val="004277ED"/>
    <w:rsid w:val="00441555"/>
    <w:rsid w:val="00444338"/>
    <w:rsid w:val="00446022"/>
    <w:rsid w:val="004518CC"/>
    <w:rsid w:val="00455EA4"/>
    <w:rsid w:val="0045681E"/>
    <w:rsid w:val="00466558"/>
    <w:rsid w:val="00466845"/>
    <w:rsid w:val="00473192"/>
    <w:rsid w:val="00473214"/>
    <w:rsid w:val="00474A88"/>
    <w:rsid w:val="00474CDD"/>
    <w:rsid w:val="00480ED7"/>
    <w:rsid w:val="004814CB"/>
    <w:rsid w:val="00485423"/>
    <w:rsid w:val="0048570F"/>
    <w:rsid w:val="004931FB"/>
    <w:rsid w:val="00496F74"/>
    <w:rsid w:val="004978B5"/>
    <w:rsid w:val="004A38C3"/>
    <w:rsid w:val="004A5F17"/>
    <w:rsid w:val="004B168B"/>
    <w:rsid w:val="004B59EF"/>
    <w:rsid w:val="004B6EE8"/>
    <w:rsid w:val="004C1C55"/>
    <w:rsid w:val="004C2809"/>
    <w:rsid w:val="004C3B2A"/>
    <w:rsid w:val="004C3E57"/>
    <w:rsid w:val="004C6C64"/>
    <w:rsid w:val="004D1DDB"/>
    <w:rsid w:val="004D4011"/>
    <w:rsid w:val="004D6A3D"/>
    <w:rsid w:val="004E6209"/>
    <w:rsid w:val="004E777F"/>
    <w:rsid w:val="004F03B4"/>
    <w:rsid w:val="004F12AC"/>
    <w:rsid w:val="004F24F4"/>
    <w:rsid w:val="004F2A35"/>
    <w:rsid w:val="004F46CA"/>
    <w:rsid w:val="004F6145"/>
    <w:rsid w:val="0050247D"/>
    <w:rsid w:val="00513CB9"/>
    <w:rsid w:val="00515B69"/>
    <w:rsid w:val="00522312"/>
    <w:rsid w:val="00524093"/>
    <w:rsid w:val="00530CDB"/>
    <w:rsid w:val="005352CF"/>
    <w:rsid w:val="0053614C"/>
    <w:rsid w:val="00536FBB"/>
    <w:rsid w:val="00541D4F"/>
    <w:rsid w:val="00545587"/>
    <w:rsid w:val="005464CC"/>
    <w:rsid w:val="00550A41"/>
    <w:rsid w:val="005530CA"/>
    <w:rsid w:val="0055737C"/>
    <w:rsid w:val="00557469"/>
    <w:rsid w:val="00561C8F"/>
    <w:rsid w:val="00565613"/>
    <w:rsid w:val="00573003"/>
    <w:rsid w:val="005730AE"/>
    <w:rsid w:val="00575174"/>
    <w:rsid w:val="00581C6C"/>
    <w:rsid w:val="00584478"/>
    <w:rsid w:val="0059393E"/>
    <w:rsid w:val="00597320"/>
    <w:rsid w:val="005A1CA8"/>
    <w:rsid w:val="005A2DD5"/>
    <w:rsid w:val="005A5684"/>
    <w:rsid w:val="005A5B37"/>
    <w:rsid w:val="005A66E7"/>
    <w:rsid w:val="005A7FC3"/>
    <w:rsid w:val="005B2B87"/>
    <w:rsid w:val="005C2167"/>
    <w:rsid w:val="005C48DB"/>
    <w:rsid w:val="005D078A"/>
    <w:rsid w:val="005D27E1"/>
    <w:rsid w:val="005D448F"/>
    <w:rsid w:val="005E271C"/>
    <w:rsid w:val="005E5844"/>
    <w:rsid w:val="005E72AA"/>
    <w:rsid w:val="005E7BCE"/>
    <w:rsid w:val="005F02CA"/>
    <w:rsid w:val="005F61D1"/>
    <w:rsid w:val="005F77B1"/>
    <w:rsid w:val="00600979"/>
    <w:rsid w:val="00605C00"/>
    <w:rsid w:val="006109C6"/>
    <w:rsid w:val="00614C08"/>
    <w:rsid w:val="0062478F"/>
    <w:rsid w:val="0062665D"/>
    <w:rsid w:val="006401EF"/>
    <w:rsid w:val="0064250F"/>
    <w:rsid w:val="00642CA6"/>
    <w:rsid w:val="00643400"/>
    <w:rsid w:val="00647F6A"/>
    <w:rsid w:val="00651354"/>
    <w:rsid w:val="0065292B"/>
    <w:rsid w:val="00653F2E"/>
    <w:rsid w:val="006562E4"/>
    <w:rsid w:val="0065708F"/>
    <w:rsid w:val="006570D9"/>
    <w:rsid w:val="006601E5"/>
    <w:rsid w:val="00663204"/>
    <w:rsid w:val="006659BC"/>
    <w:rsid w:val="0066749B"/>
    <w:rsid w:val="00671304"/>
    <w:rsid w:val="00672A57"/>
    <w:rsid w:val="006777E8"/>
    <w:rsid w:val="00684E8A"/>
    <w:rsid w:val="00684EBC"/>
    <w:rsid w:val="00685ED4"/>
    <w:rsid w:val="006860F5"/>
    <w:rsid w:val="00687E34"/>
    <w:rsid w:val="00690F98"/>
    <w:rsid w:val="00691C45"/>
    <w:rsid w:val="0069375F"/>
    <w:rsid w:val="00693F80"/>
    <w:rsid w:val="00695303"/>
    <w:rsid w:val="00695518"/>
    <w:rsid w:val="00695A2D"/>
    <w:rsid w:val="00695B0B"/>
    <w:rsid w:val="006A3BC2"/>
    <w:rsid w:val="006A7632"/>
    <w:rsid w:val="006B15A8"/>
    <w:rsid w:val="006B4505"/>
    <w:rsid w:val="006B4D5B"/>
    <w:rsid w:val="006C2FD1"/>
    <w:rsid w:val="006C694D"/>
    <w:rsid w:val="006E1CD8"/>
    <w:rsid w:val="006E2A9F"/>
    <w:rsid w:val="006E5174"/>
    <w:rsid w:val="006F079F"/>
    <w:rsid w:val="006F1A8A"/>
    <w:rsid w:val="006F1D3E"/>
    <w:rsid w:val="006F6C3F"/>
    <w:rsid w:val="007015C7"/>
    <w:rsid w:val="007040D6"/>
    <w:rsid w:val="007040E6"/>
    <w:rsid w:val="0071142B"/>
    <w:rsid w:val="00712DF7"/>
    <w:rsid w:val="007171B2"/>
    <w:rsid w:val="0071780E"/>
    <w:rsid w:val="00722316"/>
    <w:rsid w:val="00722B10"/>
    <w:rsid w:val="0072457D"/>
    <w:rsid w:val="007312F1"/>
    <w:rsid w:val="007332A7"/>
    <w:rsid w:val="007341F9"/>
    <w:rsid w:val="0073568E"/>
    <w:rsid w:val="007361A2"/>
    <w:rsid w:val="007371F4"/>
    <w:rsid w:val="00740FF3"/>
    <w:rsid w:val="007437E7"/>
    <w:rsid w:val="00743EAE"/>
    <w:rsid w:val="00745BC4"/>
    <w:rsid w:val="007461A1"/>
    <w:rsid w:val="00747257"/>
    <w:rsid w:val="00752AB5"/>
    <w:rsid w:val="007547A7"/>
    <w:rsid w:val="007548DA"/>
    <w:rsid w:val="007565F1"/>
    <w:rsid w:val="00756D26"/>
    <w:rsid w:val="0076213E"/>
    <w:rsid w:val="007628B7"/>
    <w:rsid w:val="007655CB"/>
    <w:rsid w:val="00771182"/>
    <w:rsid w:val="00771D24"/>
    <w:rsid w:val="00773880"/>
    <w:rsid w:val="0077479E"/>
    <w:rsid w:val="0078073E"/>
    <w:rsid w:val="00796063"/>
    <w:rsid w:val="00796A88"/>
    <w:rsid w:val="0079703C"/>
    <w:rsid w:val="007A58AE"/>
    <w:rsid w:val="007B2E3A"/>
    <w:rsid w:val="007B4697"/>
    <w:rsid w:val="007B4A28"/>
    <w:rsid w:val="007B5BAB"/>
    <w:rsid w:val="007B7850"/>
    <w:rsid w:val="007C36FB"/>
    <w:rsid w:val="007C40DA"/>
    <w:rsid w:val="007C7B53"/>
    <w:rsid w:val="007D107B"/>
    <w:rsid w:val="007E7D60"/>
    <w:rsid w:val="007E7ED1"/>
    <w:rsid w:val="007F06B7"/>
    <w:rsid w:val="007F1EE5"/>
    <w:rsid w:val="007F2277"/>
    <w:rsid w:val="007F42F6"/>
    <w:rsid w:val="007F5762"/>
    <w:rsid w:val="00802B18"/>
    <w:rsid w:val="0080397D"/>
    <w:rsid w:val="00803C3B"/>
    <w:rsid w:val="008051B8"/>
    <w:rsid w:val="00816CE6"/>
    <w:rsid w:val="008172E0"/>
    <w:rsid w:val="00821B69"/>
    <w:rsid w:val="00821E65"/>
    <w:rsid w:val="0082526E"/>
    <w:rsid w:val="008352C7"/>
    <w:rsid w:val="008364C9"/>
    <w:rsid w:val="00837D3E"/>
    <w:rsid w:val="00842992"/>
    <w:rsid w:val="00845D59"/>
    <w:rsid w:val="0085702C"/>
    <w:rsid w:val="00860396"/>
    <w:rsid w:val="00865652"/>
    <w:rsid w:val="00866468"/>
    <w:rsid w:val="008702A7"/>
    <w:rsid w:val="0087113D"/>
    <w:rsid w:val="00875993"/>
    <w:rsid w:val="00876E44"/>
    <w:rsid w:val="008804B2"/>
    <w:rsid w:val="00886995"/>
    <w:rsid w:val="00894A8D"/>
    <w:rsid w:val="0089628C"/>
    <w:rsid w:val="008979ED"/>
    <w:rsid w:val="00897C8E"/>
    <w:rsid w:val="008A71B0"/>
    <w:rsid w:val="008B017E"/>
    <w:rsid w:val="008B5D4B"/>
    <w:rsid w:val="008C02B5"/>
    <w:rsid w:val="008C02DE"/>
    <w:rsid w:val="008C0B70"/>
    <w:rsid w:val="008C179C"/>
    <w:rsid w:val="008D1F69"/>
    <w:rsid w:val="008D5979"/>
    <w:rsid w:val="008E6519"/>
    <w:rsid w:val="008F29D6"/>
    <w:rsid w:val="0090024D"/>
    <w:rsid w:val="00902E58"/>
    <w:rsid w:val="0090675E"/>
    <w:rsid w:val="00907809"/>
    <w:rsid w:val="00910B95"/>
    <w:rsid w:val="00912A24"/>
    <w:rsid w:val="00913DE4"/>
    <w:rsid w:val="00915AC9"/>
    <w:rsid w:val="00924A4F"/>
    <w:rsid w:val="00934356"/>
    <w:rsid w:val="00934E73"/>
    <w:rsid w:val="00940298"/>
    <w:rsid w:val="00943A87"/>
    <w:rsid w:val="00961431"/>
    <w:rsid w:val="00961DA8"/>
    <w:rsid w:val="00962A1B"/>
    <w:rsid w:val="00963735"/>
    <w:rsid w:val="009664FF"/>
    <w:rsid w:val="009742DA"/>
    <w:rsid w:val="009768EF"/>
    <w:rsid w:val="00983B72"/>
    <w:rsid w:val="00992E6A"/>
    <w:rsid w:val="00993BC3"/>
    <w:rsid w:val="009941FB"/>
    <w:rsid w:val="0099665C"/>
    <w:rsid w:val="00996B65"/>
    <w:rsid w:val="009A273F"/>
    <w:rsid w:val="009A347F"/>
    <w:rsid w:val="009A3EF9"/>
    <w:rsid w:val="009A630C"/>
    <w:rsid w:val="009A6EC1"/>
    <w:rsid w:val="009B203F"/>
    <w:rsid w:val="009B2F96"/>
    <w:rsid w:val="009B3B37"/>
    <w:rsid w:val="009B3BE1"/>
    <w:rsid w:val="009B3C06"/>
    <w:rsid w:val="009B497E"/>
    <w:rsid w:val="009C0A81"/>
    <w:rsid w:val="009C2CB0"/>
    <w:rsid w:val="009C63A6"/>
    <w:rsid w:val="009D0078"/>
    <w:rsid w:val="009D3ABE"/>
    <w:rsid w:val="009E1643"/>
    <w:rsid w:val="00A01834"/>
    <w:rsid w:val="00A04EAF"/>
    <w:rsid w:val="00A10CEA"/>
    <w:rsid w:val="00A12C6C"/>
    <w:rsid w:val="00A130C0"/>
    <w:rsid w:val="00A14C69"/>
    <w:rsid w:val="00A20E29"/>
    <w:rsid w:val="00A21C08"/>
    <w:rsid w:val="00A231B6"/>
    <w:rsid w:val="00A30750"/>
    <w:rsid w:val="00A34B12"/>
    <w:rsid w:val="00A358D6"/>
    <w:rsid w:val="00A36EB1"/>
    <w:rsid w:val="00A37645"/>
    <w:rsid w:val="00A424A8"/>
    <w:rsid w:val="00A463D7"/>
    <w:rsid w:val="00A47D36"/>
    <w:rsid w:val="00A514DF"/>
    <w:rsid w:val="00A53884"/>
    <w:rsid w:val="00A552DC"/>
    <w:rsid w:val="00A55CF1"/>
    <w:rsid w:val="00A56D45"/>
    <w:rsid w:val="00A606EC"/>
    <w:rsid w:val="00A64153"/>
    <w:rsid w:val="00A66565"/>
    <w:rsid w:val="00A72445"/>
    <w:rsid w:val="00A72ABE"/>
    <w:rsid w:val="00A73057"/>
    <w:rsid w:val="00A7506C"/>
    <w:rsid w:val="00A7727D"/>
    <w:rsid w:val="00A80D85"/>
    <w:rsid w:val="00A82EBA"/>
    <w:rsid w:val="00A84A75"/>
    <w:rsid w:val="00A87183"/>
    <w:rsid w:val="00A91953"/>
    <w:rsid w:val="00A91EA8"/>
    <w:rsid w:val="00A92409"/>
    <w:rsid w:val="00A92DEA"/>
    <w:rsid w:val="00AA460E"/>
    <w:rsid w:val="00AA54F0"/>
    <w:rsid w:val="00AB2769"/>
    <w:rsid w:val="00AB3CEA"/>
    <w:rsid w:val="00AB3D7C"/>
    <w:rsid w:val="00AB5C81"/>
    <w:rsid w:val="00AC02FD"/>
    <w:rsid w:val="00AC671A"/>
    <w:rsid w:val="00AD3713"/>
    <w:rsid w:val="00AD6703"/>
    <w:rsid w:val="00AD6FDE"/>
    <w:rsid w:val="00AE5420"/>
    <w:rsid w:val="00AE6EE9"/>
    <w:rsid w:val="00AE792C"/>
    <w:rsid w:val="00AF057C"/>
    <w:rsid w:val="00AF0AA2"/>
    <w:rsid w:val="00AF50DB"/>
    <w:rsid w:val="00AF6354"/>
    <w:rsid w:val="00B06DC8"/>
    <w:rsid w:val="00B07002"/>
    <w:rsid w:val="00B07A5B"/>
    <w:rsid w:val="00B131AD"/>
    <w:rsid w:val="00B162A2"/>
    <w:rsid w:val="00B16D3B"/>
    <w:rsid w:val="00B20708"/>
    <w:rsid w:val="00B33934"/>
    <w:rsid w:val="00B354E6"/>
    <w:rsid w:val="00B35B2B"/>
    <w:rsid w:val="00B37A4D"/>
    <w:rsid w:val="00B400CB"/>
    <w:rsid w:val="00B404F2"/>
    <w:rsid w:val="00B40BB3"/>
    <w:rsid w:val="00B42C15"/>
    <w:rsid w:val="00B50334"/>
    <w:rsid w:val="00B53490"/>
    <w:rsid w:val="00B53942"/>
    <w:rsid w:val="00B54E80"/>
    <w:rsid w:val="00B54F66"/>
    <w:rsid w:val="00B60BA8"/>
    <w:rsid w:val="00B728A6"/>
    <w:rsid w:val="00B741B0"/>
    <w:rsid w:val="00B756AB"/>
    <w:rsid w:val="00B7586E"/>
    <w:rsid w:val="00B76B9F"/>
    <w:rsid w:val="00B81625"/>
    <w:rsid w:val="00B835C0"/>
    <w:rsid w:val="00B8538F"/>
    <w:rsid w:val="00B87E30"/>
    <w:rsid w:val="00B91BA4"/>
    <w:rsid w:val="00B92849"/>
    <w:rsid w:val="00B936BB"/>
    <w:rsid w:val="00B93B17"/>
    <w:rsid w:val="00B94582"/>
    <w:rsid w:val="00BA316B"/>
    <w:rsid w:val="00BA4495"/>
    <w:rsid w:val="00BA5528"/>
    <w:rsid w:val="00BA6568"/>
    <w:rsid w:val="00BB1145"/>
    <w:rsid w:val="00BB4A2A"/>
    <w:rsid w:val="00BB4BB4"/>
    <w:rsid w:val="00BB68A4"/>
    <w:rsid w:val="00BB6AE2"/>
    <w:rsid w:val="00BB738A"/>
    <w:rsid w:val="00BC2070"/>
    <w:rsid w:val="00BC45E3"/>
    <w:rsid w:val="00BC64DD"/>
    <w:rsid w:val="00BC78A5"/>
    <w:rsid w:val="00BD3746"/>
    <w:rsid w:val="00BD5F15"/>
    <w:rsid w:val="00BE001E"/>
    <w:rsid w:val="00BE0266"/>
    <w:rsid w:val="00BE0291"/>
    <w:rsid w:val="00BE28D3"/>
    <w:rsid w:val="00BE3E07"/>
    <w:rsid w:val="00BE5DC4"/>
    <w:rsid w:val="00BE61B8"/>
    <w:rsid w:val="00BE767E"/>
    <w:rsid w:val="00BE7901"/>
    <w:rsid w:val="00BF5FC9"/>
    <w:rsid w:val="00BF69F7"/>
    <w:rsid w:val="00C02747"/>
    <w:rsid w:val="00C1138E"/>
    <w:rsid w:val="00C1226B"/>
    <w:rsid w:val="00C12683"/>
    <w:rsid w:val="00C13839"/>
    <w:rsid w:val="00C154B9"/>
    <w:rsid w:val="00C23AD5"/>
    <w:rsid w:val="00C24B69"/>
    <w:rsid w:val="00C25FF6"/>
    <w:rsid w:val="00C26CAC"/>
    <w:rsid w:val="00C27AA1"/>
    <w:rsid w:val="00C34A02"/>
    <w:rsid w:val="00C41977"/>
    <w:rsid w:val="00C419B4"/>
    <w:rsid w:val="00C434EB"/>
    <w:rsid w:val="00C441DB"/>
    <w:rsid w:val="00C50204"/>
    <w:rsid w:val="00C5144A"/>
    <w:rsid w:val="00C55BB9"/>
    <w:rsid w:val="00C5622F"/>
    <w:rsid w:val="00C56A3C"/>
    <w:rsid w:val="00C57117"/>
    <w:rsid w:val="00C604B6"/>
    <w:rsid w:val="00C6051A"/>
    <w:rsid w:val="00C70FC9"/>
    <w:rsid w:val="00C724CD"/>
    <w:rsid w:val="00C750A5"/>
    <w:rsid w:val="00C772B2"/>
    <w:rsid w:val="00C80435"/>
    <w:rsid w:val="00C812D6"/>
    <w:rsid w:val="00C82405"/>
    <w:rsid w:val="00C82DD2"/>
    <w:rsid w:val="00C8426C"/>
    <w:rsid w:val="00C85E2F"/>
    <w:rsid w:val="00C916DB"/>
    <w:rsid w:val="00C92FFD"/>
    <w:rsid w:val="00C93B2D"/>
    <w:rsid w:val="00C95416"/>
    <w:rsid w:val="00CA03B4"/>
    <w:rsid w:val="00CA04BB"/>
    <w:rsid w:val="00CA34A7"/>
    <w:rsid w:val="00CA489B"/>
    <w:rsid w:val="00CA5846"/>
    <w:rsid w:val="00CB10A0"/>
    <w:rsid w:val="00CB275A"/>
    <w:rsid w:val="00CB5F9A"/>
    <w:rsid w:val="00CC684D"/>
    <w:rsid w:val="00CC6FB4"/>
    <w:rsid w:val="00CC70D2"/>
    <w:rsid w:val="00CC70D5"/>
    <w:rsid w:val="00CC7AE1"/>
    <w:rsid w:val="00CE1736"/>
    <w:rsid w:val="00CE481A"/>
    <w:rsid w:val="00CE51B6"/>
    <w:rsid w:val="00CE7FDD"/>
    <w:rsid w:val="00CF00C8"/>
    <w:rsid w:val="00CF4FD2"/>
    <w:rsid w:val="00D13F53"/>
    <w:rsid w:val="00D151BD"/>
    <w:rsid w:val="00D15AF9"/>
    <w:rsid w:val="00D16841"/>
    <w:rsid w:val="00D2149C"/>
    <w:rsid w:val="00D244C3"/>
    <w:rsid w:val="00D32F96"/>
    <w:rsid w:val="00D416DA"/>
    <w:rsid w:val="00D459CF"/>
    <w:rsid w:val="00D460E2"/>
    <w:rsid w:val="00D4646C"/>
    <w:rsid w:val="00D56E4C"/>
    <w:rsid w:val="00D57075"/>
    <w:rsid w:val="00D6197F"/>
    <w:rsid w:val="00D67DE5"/>
    <w:rsid w:val="00D730CA"/>
    <w:rsid w:val="00D74FD4"/>
    <w:rsid w:val="00D770B1"/>
    <w:rsid w:val="00D81C96"/>
    <w:rsid w:val="00D82E96"/>
    <w:rsid w:val="00D86698"/>
    <w:rsid w:val="00D86916"/>
    <w:rsid w:val="00D90837"/>
    <w:rsid w:val="00D90C61"/>
    <w:rsid w:val="00D92BB9"/>
    <w:rsid w:val="00D96077"/>
    <w:rsid w:val="00D96F7D"/>
    <w:rsid w:val="00DA1272"/>
    <w:rsid w:val="00DA20E4"/>
    <w:rsid w:val="00DB27C5"/>
    <w:rsid w:val="00DB411C"/>
    <w:rsid w:val="00DB413F"/>
    <w:rsid w:val="00DC08DA"/>
    <w:rsid w:val="00DC2615"/>
    <w:rsid w:val="00DC336A"/>
    <w:rsid w:val="00DC62C6"/>
    <w:rsid w:val="00DC7E48"/>
    <w:rsid w:val="00DD060E"/>
    <w:rsid w:val="00DD07C2"/>
    <w:rsid w:val="00DD277C"/>
    <w:rsid w:val="00DD2F17"/>
    <w:rsid w:val="00DD3A10"/>
    <w:rsid w:val="00DE358B"/>
    <w:rsid w:val="00DE687A"/>
    <w:rsid w:val="00DE68C6"/>
    <w:rsid w:val="00DE6B10"/>
    <w:rsid w:val="00DF1F77"/>
    <w:rsid w:val="00DF21BF"/>
    <w:rsid w:val="00DF5C79"/>
    <w:rsid w:val="00DF6625"/>
    <w:rsid w:val="00DF7EA7"/>
    <w:rsid w:val="00E01BC9"/>
    <w:rsid w:val="00E04604"/>
    <w:rsid w:val="00E101B8"/>
    <w:rsid w:val="00E26FE3"/>
    <w:rsid w:val="00E2738E"/>
    <w:rsid w:val="00E305F2"/>
    <w:rsid w:val="00E306DD"/>
    <w:rsid w:val="00E326CB"/>
    <w:rsid w:val="00E33899"/>
    <w:rsid w:val="00E37AD4"/>
    <w:rsid w:val="00E423D8"/>
    <w:rsid w:val="00E43F9D"/>
    <w:rsid w:val="00E459CE"/>
    <w:rsid w:val="00E50F20"/>
    <w:rsid w:val="00E532D0"/>
    <w:rsid w:val="00E60A75"/>
    <w:rsid w:val="00E6117B"/>
    <w:rsid w:val="00E652AE"/>
    <w:rsid w:val="00E672D4"/>
    <w:rsid w:val="00E67A0B"/>
    <w:rsid w:val="00E7033E"/>
    <w:rsid w:val="00E727D4"/>
    <w:rsid w:val="00E72EDE"/>
    <w:rsid w:val="00E73726"/>
    <w:rsid w:val="00E76DEC"/>
    <w:rsid w:val="00E770D4"/>
    <w:rsid w:val="00E81804"/>
    <w:rsid w:val="00E8670B"/>
    <w:rsid w:val="00E87E57"/>
    <w:rsid w:val="00E90A14"/>
    <w:rsid w:val="00E910E3"/>
    <w:rsid w:val="00E92DD3"/>
    <w:rsid w:val="00E961ED"/>
    <w:rsid w:val="00EA27B7"/>
    <w:rsid w:val="00EA3C6D"/>
    <w:rsid w:val="00EA47EB"/>
    <w:rsid w:val="00EA52B9"/>
    <w:rsid w:val="00EA700C"/>
    <w:rsid w:val="00EB0BEA"/>
    <w:rsid w:val="00EB4EBF"/>
    <w:rsid w:val="00EC22BE"/>
    <w:rsid w:val="00EC65F3"/>
    <w:rsid w:val="00ED3C8F"/>
    <w:rsid w:val="00ED464D"/>
    <w:rsid w:val="00ED6C80"/>
    <w:rsid w:val="00EE10D1"/>
    <w:rsid w:val="00EE263C"/>
    <w:rsid w:val="00EE37CD"/>
    <w:rsid w:val="00EE3856"/>
    <w:rsid w:val="00EE4213"/>
    <w:rsid w:val="00EE672F"/>
    <w:rsid w:val="00EE794B"/>
    <w:rsid w:val="00EE79C0"/>
    <w:rsid w:val="00EF029B"/>
    <w:rsid w:val="00EF14D9"/>
    <w:rsid w:val="00EF6C0A"/>
    <w:rsid w:val="00F023EC"/>
    <w:rsid w:val="00F0535D"/>
    <w:rsid w:val="00F113B0"/>
    <w:rsid w:val="00F12091"/>
    <w:rsid w:val="00F12B72"/>
    <w:rsid w:val="00F1557A"/>
    <w:rsid w:val="00F20FCB"/>
    <w:rsid w:val="00F32192"/>
    <w:rsid w:val="00F329F2"/>
    <w:rsid w:val="00F35F57"/>
    <w:rsid w:val="00F403D0"/>
    <w:rsid w:val="00F42F17"/>
    <w:rsid w:val="00F44509"/>
    <w:rsid w:val="00F44D87"/>
    <w:rsid w:val="00F52314"/>
    <w:rsid w:val="00F54497"/>
    <w:rsid w:val="00F5648A"/>
    <w:rsid w:val="00F5676C"/>
    <w:rsid w:val="00F627C3"/>
    <w:rsid w:val="00F7392D"/>
    <w:rsid w:val="00F73A7C"/>
    <w:rsid w:val="00F80D11"/>
    <w:rsid w:val="00F830F0"/>
    <w:rsid w:val="00F84D01"/>
    <w:rsid w:val="00F85FA6"/>
    <w:rsid w:val="00F86B72"/>
    <w:rsid w:val="00F9193A"/>
    <w:rsid w:val="00F92A07"/>
    <w:rsid w:val="00F9579A"/>
    <w:rsid w:val="00FA0768"/>
    <w:rsid w:val="00FA10E5"/>
    <w:rsid w:val="00FA27EA"/>
    <w:rsid w:val="00FA2889"/>
    <w:rsid w:val="00FB13AC"/>
    <w:rsid w:val="00FB312B"/>
    <w:rsid w:val="00FB3AFC"/>
    <w:rsid w:val="00FB6971"/>
    <w:rsid w:val="00FB6C8A"/>
    <w:rsid w:val="00FB7F3E"/>
    <w:rsid w:val="00FC3F5C"/>
    <w:rsid w:val="00FC6407"/>
    <w:rsid w:val="00FC6C8A"/>
    <w:rsid w:val="00FC7A50"/>
    <w:rsid w:val="00FD02A4"/>
    <w:rsid w:val="00FD0425"/>
    <w:rsid w:val="00FD151A"/>
    <w:rsid w:val="00FD62DE"/>
    <w:rsid w:val="00FD72AF"/>
    <w:rsid w:val="00FD7B01"/>
    <w:rsid w:val="00FE0E27"/>
    <w:rsid w:val="00FE13D2"/>
    <w:rsid w:val="00FF4E51"/>
    <w:rsid w:val="00FF5F78"/>
    <w:rsid w:val="00FF6649"/>
    <w:rsid w:val="00FF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33735">
      <w:bodyDiv w:val="1"/>
      <w:marLeft w:val="0"/>
      <w:marRight w:val="0"/>
      <w:marTop w:val="0"/>
      <w:marBottom w:val="0"/>
      <w:divBdr>
        <w:top w:val="none" w:sz="0" w:space="0" w:color="auto"/>
        <w:left w:val="none" w:sz="0" w:space="0" w:color="auto"/>
        <w:bottom w:val="none" w:sz="0" w:space="0" w:color="auto"/>
        <w:right w:val="none" w:sz="0" w:space="0" w:color="auto"/>
      </w:divBdr>
    </w:div>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433861973">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 w:id="59494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Sar02</b:Tag>
    <b:SourceType>Book</b:SourceType>
    <b:Guid>{E9B65253-066E-4057-A016-B0A63F529C51}</b:Guid>
    <b:Title>Sarbanes-oxley act of 2002: The Public Company Accounting Reform and Investor Protection Act</b:Title>
    <b:Author>
      <b:Author>
        <b:NameList>
          <b:Person>
            <b:Last>Sarbanes</b:Last>
            <b:First>P</b:First>
          </b:Person>
        </b:NameList>
      </b:Author>
    </b:Author>
    <b:Year>2002</b:Year>
    <b:JournalName>The Public Company Accounting Reform and Investor Protection Act</b:JournalName>
    <b:City>Washington DC</b:City>
    <b:Publisher>US Congress</b:Publisher>
    <b:RefOrder>2</b:RefOrder>
  </b:Source>
  <b:Source>
    <b:Tag>Cha10</b:Tag>
    <b:SourceType>JournalArticle</b:SourceType>
    <b:Guid>{B241B68B-DFD8-4202-9FF3-AD6A2EEF65AB}</b:Guid>
    <b:Author>
      <b:Author>
        <b:NameList>
          <b:Person>
            <b:Last>Chaffee</b:Last>
            <b:First>E.</b:First>
            <b:Middle>C</b:Middle>
          </b:Person>
        </b:NameList>
      </b:Author>
    </b:Author>
    <b:Title>The Dodd-Frank Wall Street Reform and Consumer Protection Act: A failed vision for increasing consumer protection and heightening corporate responsibility in international financial transactions</b:Title>
    <b:Year>2010</b:Year>
    <b:JournalName>Am. UL Rev., 60</b:JournalName>
    <b:Pages>1431</b:Pages>
    <b:RefOrder>3</b:RefOrder>
  </b:Source>
  <b:Source>
    <b:Tag>ACT02</b:Tag>
    <b:SourceType>JournalArticle</b:SourceType>
    <b:Guid>{91999497-8E7F-4B11-8AA6-1CAFDE821961}</b:Guid>
    <b:Author>
      <b:Author>
        <b:NameList>
          <b:Person>
            <b:Last>ACT</b:Last>
            <b:First>S.</b:First>
            <b:Middle>E</b:Middle>
          </b:Person>
        </b:NameList>
      </b:Author>
    </b:Author>
    <b:Title>SECURITIES ACT OF 1933</b:Title>
    <b:JournalName>ORDER, 21046</b:JournalName>
    <b:Year>2002</b:Year>
    <b:Pages>9400</b:Pages>
    <b:RefOrder>1</b:RefOrder>
  </b:Source>
</b:Sources>
</file>

<file path=customXml/itemProps1.xml><?xml version="1.0" encoding="utf-8"?>
<ds:datastoreItem xmlns:ds="http://schemas.openxmlformats.org/officeDocument/2006/customXml" ds:itemID="{D5A91A48-D218-4903-A554-130A72CF4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1390</Words>
  <Characters>7923</Characters>
  <Application>Microsoft Office Word</Application>
  <DocSecurity>0</DocSecurity>
  <Lines>66</Lines>
  <Paragraphs>18</Paragraphs>
  <ScaleCrop>false</ScaleCrop>
  <LinksUpToDate>false</LinksUpToDate>
  <CharactersWithSpaces>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2018-12-12T03:13:00Z</dcterms:created>
  <dcterms:modified xsi:type="dcterms:W3CDTF">2018-12-12T03:13:00Z</dcterms:modified>
</cp:coreProperties>
</file>